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8E7FB9" w14:textId="2C2BCD6D" w:rsidR="00603570" w:rsidRPr="00603570" w:rsidRDefault="00603570">
      <w:pPr>
        <w:rPr>
          <w:b/>
          <w:bCs/>
          <w:sz w:val="24"/>
          <w:szCs w:val="24"/>
        </w:rPr>
      </w:pPr>
      <w:r w:rsidRPr="00603570">
        <w:rPr>
          <w:b/>
          <w:bCs/>
          <w:sz w:val="24"/>
          <w:szCs w:val="24"/>
        </w:rPr>
        <w:t>The Spirit of Liberty Marches on, but Stumbles: Early Virginia Efforts to End Slavery</w:t>
      </w:r>
    </w:p>
    <w:p w14:paraId="28F5975B" w14:textId="2F98136C" w:rsidR="00603570" w:rsidRPr="001A30EB" w:rsidRDefault="00603570">
      <w:pPr>
        <w:rPr>
          <w:b/>
          <w:bCs/>
        </w:rPr>
      </w:pPr>
      <w:r w:rsidRPr="001A30EB">
        <w:rPr>
          <w:b/>
          <w:bCs/>
        </w:rPr>
        <w:t xml:space="preserve">By David A. Welker, SMJC Historian </w:t>
      </w:r>
    </w:p>
    <w:p w14:paraId="101FD9E6" w14:textId="35C46CC7" w:rsidR="009F33ED" w:rsidRDefault="00512A29" w:rsidP="00085E6B">
      <w:pPr>
        <w:ind w:firstLine="720"/>
      </w:pPr>
      <w:r>
        <w:t>The same spirit of liberty that inspired Virginia throughout the American Revolution continued marching on</w:t>
      </w:r>
      <w:r w:rsidR="009F33ED">
        <w:t>ward</w:t>
      </w:r>
      <w:r>
        <w:t xml:space="preserve"> during the young republic’s early days.  Having established American freedom, it inspired Commonwealth leaders even further, </w:t>
      </w:r>
      <w:r w:rsidR="009F33ED">
        <w:t xml:space="preserve">to begin </w:t>
      </w:r>
      <w:r>
        <w:t xml:space="preserve">abolishing slavery.  Yet we all know that </w:t>
      </w:r>
      <w:r w:rsidR="009F33ED">
        <w:t>sadly</w:t>
      </w:r>
      <w:r w:rsidR="003839F0">
        <w:t>, this</w:t>
      </w:r>
      <w:r w:rsidR="009F33ED">
        <w:t xml:space="preserve"> </w:t>
      </w:r>
      <w:r>
        <w:t>flame died, requiring the costly devastation of the American Civil War to accomplish th</w:t>
      </w:r>
      <w:r w:rsidR="009F33ED">
        <w:t>at</w:t>
      </w:r>
      <w:r>
        <w:t xml:space="preserve"> goal.  So, what happened?   </w:t>
      </w:r>
    </w:p>
    <w:p w14:paraId="3BD4B4BD" w14:textId="60792C77" w:rsidR="00744CAD" w:rsidRDefault="009F33ED" w:rsidP="00085E6B">
      <w:pPr>
        <w:ind w:firstLine="720"/>
      </w:pPr>
      <w:r>
        <w:t xml:space="preserve">Virginia, like all the 13 Colonies, had permitted African </w:t>
      </w:r>
      <w:r w:rsidR="003839F0">
        <w:t xml:space="preserve">chattel </w:t>
      </w:r>
      <w:r>
        <w:t xml:space="preserve">slavery since its very founding.  During the Revolution’s early days General Washington reversed his earlier opposition to placing Africans, free or enslaved, in the Continental Army’s ranks, driven by the need for military manpower and persuaded by the proven fighting skill and dedication of Rhode Island’s </w:t>
      </w:r>
      <w:r w:rsidR="003839F0">
        <w:t>racially-integrated 1</w:t>
      </w:r>
      <w:r w:rsidR="003839F0" w:rsidRPr="003839F0">
        <w:rPr>
          <w:vertAlign w:val="superscript"/>
        </w:rPr>
        <w:t>st</w:t>
      </w:r>
      <w:r w:rsidR="003839F0">
        <w:t xml:space="preserve"> </w:t>
      </w:r>
      <w:r>
        <w:t xml:space="preserve">Rhode Island </w:t>
      </w:r>
      <w:r w:rsidR="003839F0">
        <w:t>Regiment</w:t>
      </w:r>
      <w:r>
        <w:t xml:space="preserve">.  Many—perhaps most—Continental Army units </w:t>
      </w:r>
      <w:r w:rsidR="003839F0">
        <w:t xml:space="preserve">eventually </w:t>
      </w:r>
      <w:r>
        <w:t>became integrated</w:t>
      </w:r>
      <w:r w:rsidR="003839F0">
        <w:t xml:space="preserve"> to some degree</w:t>
      </w:r>
      <w:r>
        <w:t xml:space="preserve">, enhancing the drive to freedom from Britain.  This </w:t>
      </w:r>
      <w:r w:rsidR="003839F0">
        <w:t xml:space="preserve">contribution </w:t>
      </w:r>
      <w:r>
        <w:t xml:space="preserve">convinced the very </w:t>
      </w:r>
      <w:r w:rsidR="00744CAD">
        <w:t>first</w:t>
      </w:r>
      <w:r>
        <w:t xml:space="preserve"> session of Virginia</w:t>
      </w:r>
      <w:r w:rsidR="00744CAD">
        <w:t xml:space="preserve">’s legislature to ban the slave trade in 1778 – the first government in the Western hemisphere to do so.  </w:t>
      </w:r>
    </w:p>
    <w:p w14:paraId="4E39F732" w14:textId="42BD791E" w:rsidR="00085E6B" w:rsidRDefault="009F33ED" w:rsidP="001A30EB">
      <w:pPr>
        <w:ind w:firstLine="720"/>
        <w:sectPr w:rsidR="00085E6B" w:rsidSect="00085E6B">
          <w:endnotePr>
            <w:numFmt w:val="decimal"/>
          </w:endnotePr>
          <w:type w:val="continuous"/>
          <w:pgSz w:w="12240" w:h="15840"/>
          <w:pgMar w:top="1440" w:right="1440" w:bottom="1440" w:left="1440" w:header="720" w:footer="720" w:gutter="0"/>
          <w:cols w:space="720"/>
          <w:docGrid w:linePitch="360"/>
        </w:sectPr>
      </w:pPr>
      <w:r>
        <w:t>When the war ended, this spirit joined with Quaker, Methodist, and Baptist Church efforts</w:t>
      </w:r>
      <w:r w:rsidR="00744CAD">
        <w:t xml:space="preserve"> and persuaded the</w:t>
      </w:r>
      <w:r>
        <w:t xml:space="preserve"> Virginia House o</w:t>
      </w:r>
      <w:r w:rsidR="00744CAD">
        <w:t xml:space="preserve">f Delegates in May 1782 to pass </w:t>
      </w:r>
      <w:r w:rsidR="003839F0">
        <w:t>“</w:t>
      </w:r>
      <w:r w:rsidR="00744CAD">
        <w:t>An Act to Authorize Manumission of Slaves.</w:t>
      </w:r>
      <w:r w:rsidR="003839F0">
        <w:t>”</w:t>
      </w:r>
      <w:r>
        <w:t xml:space="preserve"> </w:t>
      </w:r>
      <w:r w:rsidR="00744CAD">
        <w:t xml:space="preserve">  For the first time in Virginia’s history, slaveholders could legally free their slaves, giving them wide personal discretion to</w:t>
      </w:r>
      <w:r>
        <w:t xml:space="preserve"> </w:t>
      </w:r>
      <w:r w:rsidR="00744CAD">
        <w:t xml:space="preserve">do so without government approval.  In response, many were granted their freedom, </w:t>
      </w:r>
      <w:r w:rsidR="003839F0">
        <w:t>and i</w:t>
      </w:r>
      <w:r w:rsidR="00744CAD">
        <w:t xml:space="preserve">n 1785 the three Christian denominations joined in </w:t>
      </w:r>
      <w:r w:rsidR="00CD3D9D">
        <w:t>petitioning t</w:t>
      </w:r>
      <w:r w:rsidR="00744CAD">
        <w:t xml:space="preserve">he </w:t>
      </w:r>
      <w:r w:rsidR="003839F0">
        <w:t xml:space="preserve">Virginia </w:t>
      </w:r>
      <w:r w:rsidR="00744CAD">
        <w:t>Hou</w:t>
      </w:r>
      <w:r w:rsidR="00CD3D9D">
        <w:t xml:space="preserve">se to introduce bills for general emancipation.  </w:t>
      </w:r>
      <w:r w:rsidR="00085E6B">
        <w:rPr>
          <w:rStyle w:val="EndnoteReference"/>
        </w:rPr>
        <w:endnoteReference w:id="1"/>
      </w:r>
    </w:p>
    <w:p w14:paraId="11CA926A" w14:textId="67AC35F7" w:rsidR="001A30EB" w:rsidRDefault="00566827" w:rsidP="00383D26">
      <w:pPr>
        <w:ind w:firstLine="720"/>
        <w:jc w:val="center"/>
      </w:pPr>
      <w:r w:rsidRPr="00566827">
        <w:rPr>
          <w:noProof/>
        </w:rPr>
        <w:drawing>
          <wp:inline distT="0" distB="0" distL="0" distR="0" wp14:anchorId="549F3054" wp14:editId="43476740">
            <wp:extent cx="3686175" cy="32660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689930" cy="3269357"/>
                    </a:xfrm>
                    <a:prstGeom prst="rect">
                      <a:avLst/>
                    </a:prstGeom>
                  </pic:spPr>
                </pic:pic>
              </a:graphicData>
            </a:graphic>
          </wp:inline>
        </w:drawing>
      </w:r>
    </w:p>
    <w:p w14:paraId="2F7485AF" w14:textId="79DC4185" w:rsidR="00D0765E" w:rsidRDefault="00CD3D9D" w:rsidP="00085E6B">
      <w:pPr>
        <w:ind w:firstLine="720"/>
      </w:pPr>
      <w:r>
        <w:t xml:space="preserve">In 1783, Thomas Jefferson drafted an emancipation plan for the Virginia Constitution and in 1784 presented the US Congress a “Plan of Government for the Western Territory,” which prevented </w:t>
      </w:r>
      <w:r>
        <w:lastRenderedPageBreak/>
        <w:t xml:space="preserve">expanding slavery into the western territories after 1800.  In 1785 the </w:t>
      </w:r>
      <w:r w:rsidR="00055F20">
        <w:t>V</w:t>
      </w:r>
      <w:r>
        <w:t xml:space="preserve">irginia House voted that all slaves brought into the state would, after one year </w:t>
      </w:r>
      <w:r w:rsidR="003839F0">
        <w:t xml:space="preserve">residing </w:t>
      </w:r>
      <w:r>
        <w:t xml:space="preserve">in Virginia, be declared free.  </w:t>
      </w:r>
      <w:r w:rsidR="003839F0">
        <w:t xml:space="preserve">Building on this, </w:t>
      </w:r>
      <w:r>
        <w:t xml:space="preserve">Virginia’s legislature produced throughout the 1780s a variety of laws that encouraged slaveowners to free those held in bondage.  For example, one bill simplified the process by which slaves could petition the government for their freedom, granting also that the state would pay the petitioner’s court costs and offering other advantages.  </w:t>
      </w:r>
      <w:r w:rsidR="00055F20">
        <w:t xml:space="preserve">In 1785, Methodists persuaded delegates from </w:t>
      </w:r>
      <w:r w:rsidR="00055F20" w:rsidRPr="00055F20">
        <w:t>Halifax, Amelia, Mecklenburg, and Pittsylvania</w:t>
      </w:r>
      <w:r w:rsidR="00055F20">
        <w:t xml:space="preserve"> Counties to submit nine emancipation petitions </w:t>
      </w:r>
      <w:r w:rsidR="00055F20" w:rsidRPr="00055F20">
        <w:t>to the Virginia General Assembly.</w:t>
      </w:r>
      <w:r w:rsidR="00055F20">
        <w:t xml:space="preserve">  </w:t>
      </w:r>
      <w:r w:rsidR="00D0765E">
        <w:t>Both George Washington and Patrick Henry privately supported this movement toward general emancipation.</w:t>
      </w:r>
      <w:r w:rsidR="00E2585E">
        <w:t xml:space="preserve">  </w:t>
      </w:r>
      <w:r w:rsidR="00E2585E">
        <w:rPr>
          <w:rStyle w:val="EndnoteReference"/>
        </w:rPr>
        <w:endnoteReference w:id="2"/>
      </w:r>
    </w:p>
    <w:p w14:paraId="3486421E" w14:textId="1F8A6EB8" w:rsidR="00AD7A67" w:rsidRDefault="00AD7A67" w:rsidP="00085E6B">
      <w:pPr>
        <w:ind w:firstLine="720"/>
      </w:pPr>
      <w:r>
        <w:t>These actions in 1798 persuaded Virginia’s Robert Carter III, possessing the vast landholdings of his grandfather Robert “King” Carter, to issue his Deed of Gift that eventually freed all of his legion of slaves.  Here in Northern Virginia, freeing slaves of his Leo Planation—so numerous were his farms that he named them after signs of the zodiac—create</w:t>
      </w:r>
      <w:r w:rsidR="002A0E20">
        <w:t>d</w:t>
      </w:r>
      <w:r>
        <w:t xml:space="preserve"> free Black families that still today have local roots.  </w:t>
      </w:r>
      <w:r w:rsidR="009F38C7">
        <w:rPr>
          <w:rStyle w:val="EndnoteReference"/>
        </w:rPr>
        <w:endnoteReference w:id="3"/>
      </w:r>
      <w:r>
        <w:t xml:space="preserve">   </w:t>
      </w:r>
    </w:p>
    <w:p w14:paraId="78DC2094" w14:textId="21F3A1CB" w:rsidR="001A30EB" w:rsidRDefault="001A30EB" w:rsidP="00600D5B">
      <w:pPr>
        <w:ind w:firstLine="720"/>
        <w:jc w:val="center"/>
      </w:pPr>
      <w:r>
        <w:rPr>
          <w:noProof/>
        </w:rPr>
        <w:drawing>
          <wp:inline distT="0" distB="0" distL="0" distR="0" wp14:anchorId="75685E74" wp14:editId="6E8E7922">
            <wp:extent cx="4257675" cy="42576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57675" cy="4257675"/>
                    </a:xfrm>
                    <a:prstGeom prst="rect">
                      <a:avLst/>
                    </a:prstGeom>
                    <a:noFill/>
                  </pic:spPr>
                </pic:pic>
              </a:graphicData>
            </a:graphic>
          </wp:inline>
        </w:drawing>
      </w:r>
    </w:p>
    <w:p w14:paraId="6C66AFDE" w14:textId="37DB51DD" w:rsidR="00D0765E" w:rsidRDefault="00D0765E" w:rsidP="00085E6B">
      <w:pPr>
        <w:ind w:firstLine="720"/>
      </w:pPr>
      <w:r>
        <w:t>By 1791, these efforts had freed some 10,000 Virginia slaves, with no visible social or economic disruptions.</w:t>
      </w:r>
      <w:r w:rsidR="00700741">
        <w:t xml:space="preserve">  </w:t>
      </w:r>
      <w:r w:rsidR="00CD3D9D">
        <w:t xml:space="preserve"> </w:t>
      </w:r>
      <w:r>
        <w:t>The price of slaves had dropped to a 20-year low</w:t>
      </w:r>
      <w:r w:rsidR="00CD3D9D">
        <w:t xml:space="preserve"> </w:t>
      </w:r>
      <w:r>
        <w:t>and the 1790 census showed that slaves now comprised just 40 percent of the state’s population, a new low</w:t>
      </w:r>
      <w:r w:rsidR="00763DF9">
        <w:t xml:space="preserve"> rate</w:t>
      </w:r>
      <w:r>
        <w:t xml:space="preserve">.  Such results sparked plans in the </w:t>
      </w:r>
      <w:r w:rsidR="00700741">
        <w:t xml:space="preserve">Virginia </w:t>
      </w:r>
      <w:r>
        <w:t>House for general emancipation</w:t>
      </w:r>
      <w:r w:rsidR="00763DF9">
        <w:t>,</w:t>
      </w:r>
      <w:r>
        <w:t xml:space="preserve"> in which slave owners would </w:t>
      </w:r>
      <w:r>
        <w:lastRenderedPageBreak/>
        <w:t xml:space="preserve">be compensated by the state for their financial loss, as was being done in growing numbers of northern states. </w:t>
      </w:r>
      <w:r w:rsidR="00744CAD">
        <w:t xml:space="preserve">  </w:t>
      </w:r>
      <w:r>
        <w:t>It seemed that liberty was again on the march…until it wasn’t.</w:t>
      </w:r>
      <w:r w:rsidR="00E2585E">
        <w:t xml:space="preserve">  </w:t>
      </w:r>
      <w:r w:rsidR="00E2585E">
        <w:rPr>
          <w:rStyle w:val="EndnoteReference"/>
        </w:rPr>
        <w:endnoteReference w:id="4"/>
      </w:r>
    </w:p>
    <w:p w14:paraId="241EE45B" w14:textId="6D444565" w:rsidR="00700741" w:rsidRDefault="00055F20" w:rsidP="00085E6B">
      <w:pPr>
        <w:ind w:firstLine="720"/>
      </w:pPr>
      <w:r>
        <w:t xml:space="preserve">A similar debate in the </w:t>
      </w:r>
      <w:r w:rsidR="00E2338A">
        <w:t xml:space="preserve">First </w:t>
      </w:r>
      <w:r>
        <w:t xml:space="preserve">US Congress in February 1790 </w:t>
      </w:r>
      <w:r w:rsidR="00700741">
        <w:t xml:space="preserve">about the future of slavery soon </w:t>
      </w:r>
      <w:r>
        <w:t>affected</w:t>
      </w:r>
      <w:r w:rsidR="00700741">
        <w:t xml:space="preserve"> deliberations </w:t>
      </w:r>
      <w:r>
        <w:t xml:space="preserve">in Virginia.  </w:t>
      </w:r>
      <w:r w:rsidR="00700741">
        <w:t xml:space="preserve">Nationally, </w:t>
      </w:r>
      <w:r>
        <w:t xml:space="preserve">powerful slaveholding interests went on the attack to quash general emancipation, </w:t>
      </w:r>
      <w:r w:rsidR="00700741">
        <w:t xml:space="preserve">similarly </w:t>
      </w:r>
      <w:r>
        <w:t xml:space="preserve">emboldening pro-slavery </w:t>
      </w:r>
      <w:r w:rsidR="00700741">
        <w:t>interests</w:t>
      </w:r>
      <w:r>
        <w:t xml:space="preserve"> in Richmond.  </w:t>
      </w:r>
      <w:r w:rsidR="00763DF9">
        <w:t>Although Virginians played a leading role in both factions</w:t>
      </w:r>
      <w:r w:rsidR="00700741">
        <w:t xml:space="preserve"> in Congress</w:t>
      </w:r>
      <w:r w:rsidR="00763DF9">
        <w:t xml:space="preserve">, </w:t>
      </w:r>
      <w:r w:rsidR="00E2338A">
        <w:t xml:space="preserve">James Madison </w:t>
      </w:r>
      <w:r w:rsidR="00763DF9">
        <w:t xml:space="preserve">sadly became </w:t>
      </w:r>
      <w:r w:rsidR="00E2338A">
        <w:t>a leader in the pro-slavery faction, arguing that this was a step too far, too early for the young nation facing so many challenges</w:t>
      </w:r>
      <w:r w:rsidR="00763DF9">
        <w:t>.</w:t>
      </w:r>
      <w:r w:rsidR="00E2338A">
        <w:t xml:space="preserve">  Congress </w:t>
      </w:r>
      <w:r w:rsidR="00763DF9">
        <w:t xml:space="preserve">narrowly </w:t>
      </w:r>
      <w:r w:rsidR="00E2338A">
        <w:t>voted</w:t>
      </w:r>
      <w:r w:rsidR="00763DF9">
        <w:t xml:space="preserve"> </w:t>
      </w:r>
      <w:r w:rsidR="00E2338A">
        <w:t>29-25 to bury abolition</w:t>
      </w:r>
      <w:r w:rsidR="00763DF9">
        <w:t xml:space="preserve"> proposals</w:t>
      </w:r>
      <w:r w:rsidR="00E2338A">
        <w:t>.</w:t>
      </w:r>
      <w:r w:rsidR="00763DF9">
        <w:t xml:space="preserve"> </w:t>
      </w:r>
      <w:r w:rsidR="00E2585E">
        <w:rPr>
          <w:rStyle w:val="EndnoteReference"/>
        </w:rPr>
        <w:endnoteReference w:id="5"/>
      </w:r>
    </w:p>
    <w:p w14:paraId="1BC9E3EF" w14:textId="591A07ED" w:rsidR="00AD7A67" w:rsidRDefault="00763DF9" w:rsidP="00085E6B">
      <w:pPr>
        <w:ind w:firstLine="720"/>
      </w:pPr>
      <w:r>
        <w:t xml:space="preserve">On the heels of this missed opportunity came the 1791 slave uprising in France’s </w:t>
      </w:r>
      <w:r w:rsidRPr="00763DF9">
        <w:t>Saint-Domingue</w:t>
      </w:r>
      <w:r>
        <w:t xml:space="preserve"> Colony, which </w:t>
      </w:r>
      <w:r w:rsidR="00700741">
        <w:t xml:space="preserve">in </w:t>
      </w:r>
      <w:r w:rsidR="00BE124A">
        <w:t xml:space="preserve">that year alone cause </w:t>
      </w:r>
      <w:r>
        <w:t>thousands of deaths on both sides</w:t>
      </w:r>
      <w:r w:rsidR="00BE124A">
        <w:t xml:space="preserve">.  Ongoing </w:t>
      </w:r>
      <w:r>
        <w:t xml:space="preserve">violence </w:t>
      </w:r>
      <w:r w:rsidR="00BE124A">
        <w:t xml:space="preserve">spread, sparking the </w:t>
      </w:r>
      <w:r>
        <w:t>1791-180</w:t>
      </w:r>
      <w:r w:rsidR="00BE124A">
        <w:t xml:space="preserve">4 Haitian War of Independence that ignited fear in Southern colonies that this could be repeated in America.  In response, it seemed safer to emphasize the status quo, including securing the institution and legal protection of slavery. </w:t>
      </w:r>
      <w:r w:rsidR="009F38C7">
        <w:rPr>
          <w:rStyle w:val="EndnoteReference"/>
        </w:rPr>
        <w:endnoteReference w:id="6"/>
      </w:r>
    </w:p>
    <w:p w14:paraId="32F38E41" w14:textId="1DFAA456" w:rsidR="00700741" w:rsidRDefault="00AD7A67" w:rsidP="00085E6B">
      <w:pPr>
        <w:ind w:firstLine="720"/>
      </w:pPr>
      <w:r>
        <w:t xml:space="preserve">Liberty’s march had taken a diversion, but could not be stopped.  Although it would take another great war to set the issue aright nationally, </w:t>
      </w:r>
      <w:r w:rsidR="00745F89">
        <w:t xml:space="preserve">we should </w:t>
      </w:r>
      <w:r>
        <w:t>remember Virginia’s early, bold moves</w:t>
      </w:r>
      <w:r w:rsidR="00745F89">
        <w:t xml:space="preserve"> to make the Declaration’s promise ring true for all.</w:t>
      </w:r>
      <w:r>
        <w:t xml:space="preserve">  </w:t>
      </w:r>
      <w:r w:rsidR="00BE124A">
        <w:t xml:space="preserve"> </w:t>
      </w:r>
    </w:p>
    <w:sectPr w:rsidR="00700741" w:rsidSect="00085E6B">
      <w:endnotePr>
        <w:numFmt w:val="decimal"/>
      </w:endnotePr>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A5850" w14:textId="77777777" w:rsidR="00343112" w:rsidRDefault="00343112" w:rsidP="00085E6B">
      <w:pPr>
        <w:spacing w:after="0" w:line="240" w:lineRule="auto"/>
      </w:pPr>
      <w:r>
        <w:separator/>
      </w:r>
    </w:p>
  </w:endnote>
  <w:endnote w:type="continuationSeparator" w:id="0">
    <w:p w14:paraId="0EC937F9" w14:textId="77777777" w:rsidR="00343112" w:rsidRDefault="00343112" w:rsidP="00085E6B">
      <w:pPr>
        <w:spacing w:after="0" w:line="240" w:lineRule="auto"/>
      </w:pPr>
      <w:r>
        <w:continuationSeparator/>
      </w:r>
    </w:p>
  </w:endnote>
  <w:endnote w:id="1">
    <w:p w14:paraId="14AB2248" w14:textId="2B4894A1" w:rsidR="00085E6B" w:rsidRDefault="00085E6B">
      <w:pPr>
        <w:pStyle w:val="EndnoteText"/>
      </w:pPr>
      <w:r>
        <w:rPr>
          <w:rStyle w:val="EndnoteReference"/>
        </w:rPr>
        <w:endnoteRef/>
      </w:r>
      <w:r>
        <w:t xml:space="preserve"> Andrew Levy</w:t>
      </w:r>
      <w:r w:rsidR="00E2585E">
        <w:t>,</w:t>
      </w:r>
      <w:r>
        <w:t xml:space="preserve"> </w:t>
      </w:r>
      <w:bookmarkStart w:id="0" w:name="_Hlk242444323"/>
      <w:r w:rsidRPr="00E2585E">
        <w:rPr>
          <w:i/>
          <w:iCs/>
        </w:rPr>
        <w:t>The First Emancipator</w:t>
      </w:r>
      <w:bookmarkEnd w:id="0"/>
      <w:r w:rsidRPr="00E2585E">
        <w:rPr>
          <w:i/>
          <w:iCs/>
        </w:rPr>
        <w:t>: Slavery, Religion, and the Quiet Revolution of Robert Carter</w:t>
      </w:r>
      <w:r>
        <w:t xml:space="preserve"> (Random House: New York, 2005), </w:t>
      </w:r>
      <w:r w:rsidR="00E2585E">
        <w:t>101.</w:t>
      </w:r>
    </w:p>
  </w:endnote>
  <w:endnote w:id="2">
    <w:p w14:paraId="398BDE8A" w14:textId="27C3687F" w:rsidR="00E2585E" w:rsidRDefault="00E2585E">
      <w:pPr>
        <w:pStyle w:val="EndnoteText"/>
      </w:pPr>
      <w:r>
        <w:rPr>
          <w:rStyle w:val="EndnoteReference"/>
        </w:rPr>
        <w:endnoteRef/>
      </w:r>
      <w:r>
        <w:t xml:space="preserve"> </w:t>
      </w:r>
      <w:bookmarkStart w:id="1" w:name="_Hlk242444670"/>
      <w:r>
        <w:t xml:space="preserve">Levy, </w:t>
      </w:r>
      <w:r w:rsidRPr="00E2585E">
        <w:rPr>
          <w:i/>
          <w:iCs/>
        </w:rPr>
        <w:t>The First Emancipator</w:t>
      </w:r>
      <w:r>
        <w:rPr>
          <w:i/>
          <w:iCs/>
        </w:rPr>
        <w:t xml:space="preserve">, </w:t>
      </w:r>
      <w:r w:rsidRPr="00E2585E">
        <w:t>117-118.</w:t>
      </w:r>
      <w:bookmarkEnd w:id="1"/>
    </w:p>
  </w:endnote>
  <w:endnote w:id="3">
    <w:p w14:paraId="10D8C882" w14:textId="4FBC5F4A" w:rsidR="009F38C7" w:rsidRDefault="009F38C7">
      <w:pPr>
        <w:pStyle w:val="EndnoteText"/>
      </w:pPr>
      <w:r>
        <w:rPr>
          <w:rStyle w:val="EndnoteReference"/>
        </w:rPr>
        <w:endnoteRef/>
      </w:r>
      <w:r>
        <w:t xml:space="preserve"> Levy, </w:t>
      </w:r>
      <w:r w:rsidRPr="00E2585E">
        <w:rPr>
          <w:i/>
          <w:iCs/>
        </w:rPr>
        <w:t>The First Emancipator</w:t>
      </w:r>
      <w:r>
        <w:rPr>
          <w:i/>
          <w:iCs/>
        </w:rPr>
        <w:t xml:space="preserve">, </w:t>
      </w:r>
      <w:r w:rsidRPr="00E2585E">
        <w:t>1</w:t>
      </w:r>
      <w:r>
        <w:t>36</w:t>
      </w:r>
      <w:r w:rsidRPr="00E2585E">
        <w:t>-1</w:t>
      </w:r>
      <w:r>
        <w:t>73</w:t>
      </w:r>
      <w:r w:rsidRPr="00E2585E">
        <w:t>.</w:t>
      </w:r>
    </w:p>
  </w:endnote>
  <w:endnote w:id="4">
    <w:p w14:paraId="73E057C9" w14:textId="15580854" w:rsidR="00E2585E" w:rsidRDefault="00E2585E">
      <w:pPr>
        <w:pStyle w:val="EndnoteText"/>
      </w:pPr>
      <w:r>
        <w:rPr>
          <w:rStyle w:val="EndnoteReference"/>
        </w:rPr>
        <w:endnoteRef/>
      </w:r>
      <w:r>
        <w:t xml:space="preserve"> Levy, </w:t>
      </w:r>
      <w:r w:rsidRPr="00E2585E">
        <w:rPr>
          <w:i/>
          <w:iCs/>
        </w:rPr>
        <w:t>The First Emancipator</w:t>
      </w:r>
      <w:r>
        <w:rPr>
          <w:i/>
          <w:iCs/>
        </w:rPr>
        <w:t xml:space="preserve">, </w:t>
      </w:r>
      <w:r w:rsidRPr="00E2585E">
        <w:t>1</w:t>
      </w:r>
      <w:r>
        <w:t>38</w:t>
      </w:r>
      <w:r w:rsidRPr="00E2585E">
        <w:t>-1</w:t>
      </w:r>
      <w:r>
        <w:t>39</w:t>
      </w:r>
      <w:r w:rsidRPr="00E2585E">
        <w:t>.</w:t>
      </w:r>
    </w:p>
  </w:endnote>
  <w:endnote w:id="5">
    <w:p w14:paraId="6F272D73" w14:textId="13A91868" w:rsidR="00E2585E" w:rsidRDefault="00E2585E">
      <w:pPr>
        <w:pStyle w:val="EndnoteText"/>
      </w:pPr>
      <w:r>
        <w:rPr>
          <w:rStyle w:val="EndnoteReference"/>
        </w:rPr>
        <w:endnoteRef/>
      </w:r>
      <w:r>
        <w:t xml:space="preserve"> </w:t>
      </w:r>
      <w:r w:rsidR="009F38C7">
        <w:t xml:space="preserve">Levy, </w:t>
      </w:r>
      <w:r w:rsidR="009F38C7" w:rsidRPr="00E2585E">
        <w:rPr>
          <w:i/>
          <w:iCs/>
        </w:rPr>
        <w:t>The First Emancipator</w:t>
      </w:r>
      <w:r w:rsidR="009F38C7">
        <w:rPr>
          <w:i/>
          <w:iCs/>
        </w:rPr>
        <w:t xml:space="preserve">, </w:t>
      </w:r>
      <w:r w:rsidR="009F38C7" w:rsidRPr="00E2585E">
        <w:t>11</w:t>
      </w:r>
      <w:r w:rsidR="009F38C7">
        <w:t>8</w:t>
      </w:r>
      <w:r w:rsidR="009F38C7" w:rsidRPr="00E2585E">
        <w:t>-11</w:t>
      </w:r>
      <w:r w:rsidR="009F38C7">
        <w:t>9</w:t>
      </w:r>
      <w:r w:rsidR="009F38C7" w:rsidRPr="00E2585E">
        <w:t>.</w:t>
      </w:r>
    </w:p>
  </w:endnote>
  <w:endnote w:id="6">
    <w:p w14:paraId="56AEE723" w14:textId="46582A56" w:rsidR="009F38C7" w:rsidRDefault="009F38C7">
      <w:pPr>
        <w:pStyle w:val="EndnoteText"/>
      </w:pPr>
      <w:r>
        <w:rPr>
          <w:rStyle w:val="EndnoteReference"/>
        </w:rPr>
        <w:endnoteRef/>
      </w:r>
      <w:r>
        <w:t xml:space="preserve"> Levy, </w:t>
      </w:r>
      <w:r w:rsidRPr="00E2585E">
        <w:rPr>
          <w:i/>
          <w:iCs/>
        </w:rPr>
        <w:t>The First Emancipator</w:t>
      </w:r>
      <w:r>
        <w:rPr>
          <w:i/>
          <w:iCs/>
        </w:rPr>
        <w:t xml:space="preserve">, </w:t>
      </w:r>
      <w:r w:rsidRPr="00E2585E">
        <w:t>1</w:t>
      </w:r>
      <w:r>
        <w:t>40</w:t>
      </w:r>
      <w:r w:rsidRPr="00E2585E">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49660" w14:textId="77777777" w:rsidR="00343112" w:rsidRDefault="00343112" w:rsidP="00085E6B">
      <w:pPr>
        <w:spacing w:after="0" w:line="240" w:lineRule="auto"/>
      </w:pPr>
      <w:r>
        <w:separator/>
      </w:r>
    </w:p>
  </w:footnote>
  <w:footnote w:type="continuationSeparator" w:id="0">
    <w:p w14:paraId="52C80F52" w14:textId="77777777" w:rsidR="00343112" w:rsidRDefault="00343112" w:rsidP="00085E6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A29"/>
    <w:rsid w:val="00055F20"/>
    <w:rsid w:val="0007701F"/>
    <w:rsid w:val="00085E6B"/>
    <w:rsid w:val="000B469B"/>
    <w:rsid w:val="00104A90"/>
    <w:rsid w:val="00117E4E"/>
    <w:rsid w:val="001A30EB"/>
    <w:rsid w:val="002A0E20"/>
    <w:rsid w:val="00343112"/>
    <w:rsid w:val="003839F0"/>
    <w:rsid w:val="00383D26"/>
    <w:rsid w:val="00512A29"/>
    <w:rsid w:val="00566827"/>
    <w:rsid w:val="005B20E4"/>
    <w:rsid w:val="005B2935"/>
    <w:rsid w:val="00600D5B"/>
    <w:rsid w:val="00603570"/>
    <w:rsid w:val="006C453F"/>
    <w:rsid w:val="00700741"/>
    <w:rsid w:val="00701FE9"/>
    <w:rsid w:val="00744CAD"/>
    <w:rsid w:val="00745F89"/>
    <w:rsid w:val="00763DF9"/>
    <w:rsid w:val="009F33ED"/>
    <w:rsid w:val="009F38C7"/>
    <w:rsid w:val="00A56DD5"/>
    <w:rsid w:val="00AD7A67"/>
    <w:rsid w:val="00AE4433"/>
    <w:rsid w:val="00BD6945"/>
    <w:rsid w:val="00BE124A"/>
    <w:rsid w:val="00CD3D9D"/>
    <w:rsid w:val="00D02D11"/>
    <w:rsid w:val="00D0765E"/>
    <w:rsid w:val="00DE7FA4"/>
    <w:rsid w:val="00E14562"/>
    <w:rsid w:val="00E2338A"/>
    <w:rsid w:val="00E2585E"/>
    <w:rsid w:val="00E553BC"/>
    <w:rsid w:val="00F548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553F44"/>
  <w15:chartTrackingRefBased/>
  <w15:docId w15:val="{A1E6D68A-B620-4627-8956-D32DCDCC5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2A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2A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2A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2A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2A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2A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2A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2A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2A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2A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2A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2A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2A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2A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2A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2A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2A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2A29"/>
    <w:rPr>
      <w:rFonts w:eastAsiaTheme="majorEastAsia" w:cstheme="majorBidi"/>
      <w:color w:val="272727" w:themeColor="text1" w:themeTint="D8"/>
    </w:rPr>
  </w:style>
  <w:style w:type="paragraph" w:styleId="Title">
    <w:name w:val="Title"/>
    <w:basedOn w:val="Normal"/>
    <w:next w:val="Normal"/>
    <w:link w:val="TitleChar"/>
    <w:uiPriority w:val="10"/>
    <w:qFormat/>
    <w:rsid w:val="00512A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2A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2A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2A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2A29"/>
    <w:pPr>
      <w:spacing w:before="160"/>
      <w:jc w:val="center"/>
    </w:pPr>
    <w:rPr>
      <w:i/>
      <w:iCs/>
      <w:color w:val="404040" w:themeColor="text1" w:themeTint="BF"/>
    </w:rPr>
  </w:style>
  <w:style w:type="character" w:customStyle="1" w:styleId="QuoteChar">
    <w:name w:val="Quote Char"/>
    <w:basedOn w:val="DefaultParagraphFont"/>
    <w:link w:val="Quote"/>
    <w:uiPriority w:val="29"/>
    <w:rsid w:val="00512A29"/>
    <w:rPr>
      <w:i/>
      <w:iCs/>
      <w:color w:val="404040" w:themeColor="text1" w:themeTint="BF"/>
    </w:rPr>
  </w:style>
  <w:style w:type="paragraph" w:styleId="ListParagraph">
    <w:name w:val="List Paragraph"/>
    <w:basedOn w:val="Normal"/>
    <w:uiPriority w:val="34"/>
    <w:qFormat/>
    <w:rsid w:val="00512A29"/>
    <w:pPr>
      <w:ind w:left="720"/>
      <w:contextualSpacing/>
    </w:pPr>
  </w:style>
  <w:style w:type="character" w:styleId="IntenseEmphasis">
    <w:name w:val="Intense Emphasis"/>
    <w:basedOn w:val="DefaultParagraphFont"/>
    <w:uiPriority w:val="21"/>
    <w:qFormat/>
    <w:rsid w:val="00512A29"/>
    <w:rPr>
      <w:i/>
      <w:iCs/>
      <w:color w:val="0F4761" w:themeColor="accent1" w:themeShade="BF"/>
    </w:rPr>
  </w:style>
  <w:style w:type="paragraph" w:styleId="IntenseQuote">
    <w:name w:val="Intense Quote"/>
    <w:basedOn w:val="Normal"/>
    <w:next w:val="Normal"/>
    <w:link w:val="IntenseQuoteChar"/>
    <w:uiPriority w:val="30"/>
    <w:qFormat/>
    <w:rsid w:val="00512A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2A29"/>
    <w:rPr>
      <w:i/>
      <w:iCs/>
      <w:color w:val="0F4761" w:themeColor="accent1" w:themeShade="BF"/>
    </w:rPr>
  </w:style>
  <w:style w:type="character" w:styleId="IntenseReference">
    <w:name w:val="Intense Reference"/>
    <w:basedOn w:val="DefaultParagraphFont"/>
    <w:uiPriority w:val="32"/>
    <w:qFormat/>
    <w:rsid w:val="00512A29"/>
    <w:rPr>
      <w:b/>
      <w:bCs/>
      <w:smallCaps/>
      <w:color w:val="0F4761" w:themeColor="accent1" w:themeShade="BF"/>
      <w:spacing w:val="5"/>
    </w:rPr>
  </w:style>
  <w:style w:type="paragraph" w:styleId="EndnoteText">
    <w:name w:val="endnote text"/>
    <w:basedOn w:val="Normal"/>
    <w:link w:val="EndnoteTextChar"/>
    <w:uiPriority w:val="99"/>
    <w:semiHidden/>
    <w:unhideWhenUsed/>
    <w:rsid w:val="00085E6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85E6B"/>
    <w:rPr>
      <w:sz w:val="20"/>
      <w:szCs w:val="20"/>
    </w:rPr>
  </w:style>
  <w:style w:type="character" w:styleId="EndnoteReference">
    <w:name w:val="endnote reference"/>
    <w:basedOn w:val="DefaultParagraphFont"/>
    <w:uiPriority w:val="99"/>
    <w:semiHidden/>
    <w:unhideWhenUsed/>
    <w:rsid w:val="00085E6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EC4999-CBD6-4E41-88F0-0003AA91C3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759</Words>
  <Characters>4332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DAVIDAW0</dc:creator>
  <cp:keywords/>
  <dc:description/>
  <cp:lastModifiedBy>David Welker</cp:lastModifiedBy>
  <cp:revision>3</cp:revision>
  <dcterms:created xsi:type="dcterms:W3CDTF">2026-11-05T21:40:00Z</dcterms:created>
  <dcterms:modified xsi:type="dcterms:W3CDTF">2026-11-05T21:40:00Z</dcterms:modified>
</cp:coreProperties>
</file>